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CE" w:rsidRDefault="007206F4" w:rsidP="006E4007">
      <w:pPr>
        <w:autoSpaceDE w:val="0"/>
        <w:autoSpaceDN w:val="0"/>
        <w:adjustRightInd w:val="0"/>
        <w:spacing w:after="0"/>
        <w:rPr>
          <w:rFonts w:cs="Palatino-Bold"/>
          <w:b/>
          <w:bCs/>
          <w:color w:val="1F497D"/>
          <w:sz w:val="24"/>
          <w:szCs w:val="24"/>
          <w:u w:val="single"/>
        </w:rPr>
      </w:pPr>
      <w:r>
        <w:rPr>
          <w:rFonts w:cs="Palatino-Bold"/>
          <w:b/>
          <w:bCs/>
          <w:noProof/>
          <w:color w:val="1F497D"/>
          <w:sz w:val="24"/>
          <w:szCs w:val="24"/>
          <w:u w:val="single"/>
        </w:rPr>
        <w:pict>
          <v:shapetype id="_x0000_t202" coordsize="21600,21600" o:spt="202" path="m,l,21600r21600,l21600,xe">
            <v:stroke joinstyle="miter"/>
            <v:path gradientshapeok="t" o:connecttype="rect"/>
          </v:shapetype>
          <v:shape id="_x0000_s1026" type="#_x0000_t202" style="position:absolute;margin-left:-78pt;margin-top:-71.25pt;width:617.25pt;height:143.25pt;z-index:251657728" strokecolor="#95b3d7" strokeweight="1pt">
            <v:fill color2="#b8cce4" focusposition="1" focussize="" focus="100%" type="gradient"/>
            <v:shadow on="t" type="perspective" color="#243f60" opacity=".5" offset="1pt" offset2="-3pt"/>
            <v:textbox style="mso-next-textbox:#_x0000_s1026">
              <w:txbxContent>
                <w:p w:rsidR="00DF73CE" w:rsidRPr="00CA2C23" w:rsidRDefault="00DF73CE" w:rsidP="00DF73CE">
                  <w:pPr>
                    <w:jc w:val="center"/>
                    <w:rPr>
                      <w:rFonts w:ascii="Times New Roman" w:hAnsi="Times New Roman"/>
                      <w:color w:val="1F497D"/>
                      <w:sz w:val="144"/>
                      <w:szCs w:val="144"/>
                      <w:u w:val="single"/>
                    </w:rPr>
                  </w:pPr>
                  <w:r w:rsidRPr="00CA2C23">
                    <w:rPr>
                      <w:rFonts w:ascii="Times New Roman" w:hAnsi="Times New Roman"/>
                      <w:color w:val="1F497D"/>
                      <w:sz w:val="144"/>
                      <w:szCs w:val="144"/>
                      <w:u w:val="single"/>
                    </w:rPr>
                    <w:t>CLC UPDATE</w:t>
                  </w:r>
                </w:p>
                <w:p w:rsidR="00DF73CE" w:rsidRPr="006250A8" w:rsidRDefault="00DF73CE" w:rsidP="00DF73CE">
                  <w:pPr>
                    <w:jc w:val="center"/>
                    <w:rPr>
                      <w:b/>
                      <w:color w:val="FFFFFF"/>
                      <w:u w:val="single"/>
                    </w:rPr>
                  </w:pPr>
                  <w:r w:rsidRPr="006250A8">
                    <w:rPr>
                      <w:b/>
                      <w:color w:val="FFFFFF"/>
                      <w:sz w:val="24"/>
                      <w:szCs w:val="24"/>
                    </w:rPr>
                    <w:t>California Legislative Conference of the Plumbing, Heating and Piping Industry</w:t>
                  </w:r>
                  <w:r w:rsidRPr="006250A8">
                    <w:rPr>
                      <w:b/>
                      <w:color w:val="FFFFFF"/>
                      <w:u w:val="single"/>
                    </w:rPr>
                    <w:t xml:space="preserve"> </w:t>
                  </w:r>
                </w:p>
                <w:p w:rsidR="00DF73CE" w:rsidRPr="006250A8" w:rsidRDefault="00DF73CE" w:rsidP="00DF73CE">
                  <w:pPr>
                    <w:jc w:val="center"/>
                    <w:rPr>
                      <w:b/>
                      <w:color w:val="FFFFFF"/>
                    </w:rPr>
                  </w:pPr>
                  <w:r w:rsidRPr="006250A8">
                    <w:rPr>
                      <w:b/>
                      <w:color w:val="FFFFFF"/>
                    </w:rPr>
                    <w:t>1127 11</w:t>
                  </w:r>
                  <w:r w:rsidRPr="006250A8">
                    <w:rPr>
                      <w:b/>
                      <w:color w:val="FFFFFF"/>
                      <w:vertAlign w:val="superscript"/>
                    </w:rPr>
                    <w:t>th</w:t>
                  </w:r>
                  <w:r w:rsidRPr="006250A8">
                    <w:rPr>
                      <w:b/>
                      <w:color w:val="FFFFFF"/>
                    </w:rPr>
                    <w:t xml:space="preserve"> St., Suite 747 / Sacramento, CA 95814 / (916) 443-3114 / FAX (916) 442-6437</w:t>
                  </w:r>
                </w:p>
              </w:txbxContent>
            </v:textbox>
          </v:shape>
        </w:pict>
      </w:r>
    </w:p>
    <w:p w:rsidR="00DF73CE" w:rsidRDefault="00DF73CE" w:rsidP="006E4007">
      <w:pPr>
        <w:autoSpaceDE w:val="0"/>
        <w:autoSpaceDN w:val="0"/>
        <w:adjustRightInd w:val="0"/>
        <w:spacing w:after="0"/>
        <w:rPr>
          <w:rFonts w:cs="Palatino-Bold"/>
          <w:b/>
          <w:bCs/>
          <w:color w:val="1F497D"/>
          <w:sz w:val="24"/>
          <w:szCs w:val="24"/>
          <w:u w:val="single"/>
        </w:rPr>
      </w:pPr>
    </w:p>
    <w:p w:rsidR="00DF73CE" w:rsidRDefault="00DF73CE" w:rsidP="006E4007">
      <w:pPr>
        <w:autoSpaceDE w:val="0"/>
        <w:autoSpaceDN w:val="0"/>
        <w:adjustRightInd w:val="0"/>
        <w:spacing w:after="0"/>
        <w:rPr>
          <w:rFonts w:cs="Palatino-Bold"/>
          <w:b/>
          <w:bCs/>
          <w:color w:val="1F497D"/>
          <w:sz w:val="24"/>
          <w:szCs w:val="24"/>
          <w:u w:val="single"/>
        </w:rPr>
      </w:pPr>
    </w:p>
    <w:p w:rsidR="00DF73CE" w:rsidRDefault="00DF73CE" w:rsidP="006E4007">
      <w:pPr>
        <w:autoSpaceDE w:val="0"/>
        <w:autoSpaceDN w:val="0"/>
        <w:adjustRightInd w:val="0"/>
        <w:spacing w:after="0"/>
        <w:rPr>
          <w:rFonts w:cs="Palatino-Bold"/>
          <w:b/>
          <w:bCs/>
          <w:color w:val="1F497D"/>
          <w:sz w:val="24"/>
          <w:szCs w:val="24"/>
          <w:u w:val="single"/>
        </w:rPr>
      </w:pPr>
    </w:p>
    <w:p w:rsidR="00DF73CE" w:rsidRPr="003E3B72" w:rsidRDefault="00DF73CE" w:rsidP="003E3B72">
      <w:pPr>
        <w:pStyle w:val="NoSpacing"/>
        <w:rPr>
          <w:szCs w:val="24"/>
        </w:rPr>
      </w:pPr>
    </w:p>
    <w:p w:rsidR="005F46FE" w:rsidRPr="00370924" w:rsidRDefault="005F46FE" w:rsidP="00370924">
      <w:pPr>
        <w:pStyle w:val="NoSpacing"/>
        <w:rPr>
          <w:color w:val="1F497D" w:themeColor="text2"/>
          <w:sz w:val="20"/>
          <w:szCs w:val="20"/>
        </w:rPr>
      </w:pPr>
    </w:p>
    <w:p w:rsidR="004D3F56" w:rsidRPr="00092E71" w:rsidRDefault="004D3F56" w:rsidP="004D3F56">
      <w:pPr>
        <w:pStyle w:val="NoSpacing"/>
        <w:rPr>
          <w:b/>
          <w:u w:val="single"/>
          <w:lang/>
        </w:rPr>
      </w:pPr>
      <w:r w:rsidRPr="00092E71">
        <w:rPr>
          <w:b/>
          <w:u w:val="single"/>
          <w:lang/>
        </w:rPr>
        <w:t>DIR Registration Now Open for Public Works Contractors</w:t>
      </w:r>
    </w:p>
    <w:p w:rsidR="004D3F56" w:rsidRPr="00092E71" w:rsidRDefault="004D3F56" w:rsidP="004D3F56">
      <w:pPr>
        <w:pStyle w:val="NoSpacing"/>
        <w:rPr>
          <w:lang/>
        </w:rPr>
      </w:pPr>
      <w:r w:rsidRPr="00092E71">
        <w:t xml:space="preserve">Beginning May 1, public works contractors who are registered with the </w:t>
      </w:r>
      <w:r w:rsidRPr="00092E71">
        <w:rPr>
          <w:lang/>
        </w:rPr>
        <w:t>Department of Industrial Relations</w:t>
      </w:r>
      <w:r w:rsidRPr="00092E71">
        <w:t xml:space="preserve"> (DIR) for the current fiscal year (ending June 30, 2016) may renew their registrations for the next fiscal year starting July 1, 2016 using DIR's online</w:t>
      </w:r>
      <w:r w:rsidRPr="00092E71">
        <w:rPr>
          <w:lang/>
        </w:rPr>
        <w:t xml:space="preserve"> </w:t>
      </w:r>
      <w:hyperlink r:id="rId8" w:history="1">
        <w:r w:rsidRPr="00092E71">
          <w:rPr>
            <w:rStyle w:val="Hyperlink"/>
            <w:rFonts w:cs="Arial"/>
            <w:bCs/>
            <w:lang/>
          </w:rPr>
          <w:t>public works contra</w:t>
        </w:r>
        <w:r w:rsidRPr="00092E71">
          <w:rPr>
            <w:rStyle w:val="Hyperlink"/>
            <w:rFonts w:cs="Arial"/>
            <w:bCs/>
            <w:lang/>
          </w:rPr>
          <w:t>c</w:t>
        </w:r>
        <w:r w:rsidRPr="00092E71">
          <w:rPr>
            <w:rStyle w:val="Hyperlink"/>
            <w:rFonts w:cs="Arial"/>
            <w:bCs/>
            <w:lang/>
          </w:rPr>
          <w:t>t</w:t>
        </w:r>
        <w:r w:rsidRPr="00092E71">
          <w:rPr>
            <w:rStyle w:val="Hyperlink"/>
            <w:rFonts w:cs="Arial"/>
            <w:bCs/>
            <w:lang/>
          </w:rPr>
          <w:t>o</w:t>
        </w:r>
        <w:r w:rsidRPr="00092E71">
          <w:rPr>
            <w:rStyle w:val="Hyperlink"/>
            <w:rFonts w:cs="Arial"/>
            <w:bCs/>
            <w:lang/>
          </w:rPr>
          <w:t>r registration system</w:t>
        </w:r>
      </w:hyperlink>
      <w:r w:rsidRPr="00092E71">
        <w:rPr>
          <w:lang/>
        </w:rPr>
        <w:t>. Registered contract</w:t>
      </w:r>
      <w:r>
        <w:rPr>
          <w:lang/>
        </w:rPr>
        <w:t xml:space="preserve">ors who fail to renew by July 1, 2016 </w:t>
      </w:r>
      <w:r w:rsidRPr="00092E71">
        <w:rPr>
          <w:lang/>
        </w:rPr>
        <w:t>but continue working on public works after that date will be subject to late fees and potential penalties.</w:t>
      </w:r>
    </w:p>
    <w:p w:rsidR="004D3F56" w:rsidRPr="00092E71" w:rsidRDefault="004D3F56" w:rsidP="004D3F56">
      <w:pPr>
        <w:pStyle w:val="NoSpacing"/>
        <w:rPr>
          <w:lang/>
        </w:rPr>
      </w:pPr>
    </w:p>
    <w:p w:rsidR="004D3F56" w:rsidRDefault="004D3F56" w:rsidP="004D3F56">
      <w:pPr>
        <w:pStyle w:val="NoSpacing"/>
        <w:rPr>
          <w:lang/>
        </w:rPr>
      </w:pPr>
      <w:r w:rsidRPr="00092E71">
        <w:rPr>
          <w:lang/>
        </w:rPr>
        <w:t>Contractors must be registered with DIR before bidding, being awarded or performing work on public works projects in California. DIR registration requires that all contractors possess a license in good standing with CSLB, and having no liens or judgments owed to workers or the state of California.</w:t>
      </w:r>
    </w:p>
    <w:p w:rsidR="004D3F56" w:rsidRPr="00092E71" w:rsidRDefault="004D3F56" w:rsidP="004D3F56">
      <w:pPr>
        <w:pStyle w:val="NoSpacing"/>
        <w:rPr>
          <w:lang/>
        </w:rPr>
      </w:pPr>
    </w:p>
    <w:p w:rsidR="004D3F56" w:rsidRDefault="004D3F56" w:rsidP="004D3F56">
      <w:pPr>
        <w:pStyle w:val="NoSpacing"/>
      </w:pPr>
      <w:r w:rsidRPr="00092E71">
        <w:t>The registration and renewal process is finished upon processing of payment. If paying by credit card, the registration process can be completed within 24 hours.</w:t>
      </w:r>
    </w:p>
    <w:p w:rsidR="004D3F56" w:rsidRPr="00092E71" w:rsidRDefault="004D3F56" w:rsidP="004D3F56">
      <w:pPr>
        <w:pStyle w:val="NoSpacing"/>
      </w:pPr>
    </w:p>
    <w:p w:rsidR="004D3F56" w:rsidRDefault="004D3F56" w:rsidP="004D3F56">
      <w:pPr>
        <w:pStyle w:val="NoSpacing"/>
      </w:pPr>
      <w:r w:rsidRPr="00092E71">
        <w:t>The early renewal option is only available for public works contractors who are currently registered with DIR. Contractors who are not currently registered should carefully consider when to register. Any contractor who fails to register before bidding for a public works project or being awarded a public works project may be subject to a $2,000 penalty. Contractors who plan to bid or work on public works prior to July 1</w:t>
      </w:r>
      <w:r>
        <w:t>, 2016</w:t>
      </w:r>
      <w:r w:rsidRPr="00092E71">
        <w:t xml:space="preserve"> may complete the registration process, including payment of the $300 registration fee, to register for the remainder of the current fiscal year, which expires on June 30, 2016. Once registered, contractors may then renew their registration for the following fiscal year (beginning July 1, 2016), which will also require payment of the $300 renewal fee.</w:t>
      </w:r>
    </w:p>
    <w:p w:rsidR="004D3F56" w:rsidRPr="00092E71" w:rsidRDefault="004D3F56" w:rsidP="004D3F56">
      <w:pPr>
        <w:pStyle w:val="NoSpacing"/>
      </w:pPr>
    </w:p>
    <w:p w:rsidR="004D3F56" w:rsidRDefault="004D3F56" w:rsidP="004D3F56">
      <w:pPr>
        <w:pStyle w:val="NoSpacing"/>
      </w:pPr>
      <w:r w:rsidRPr="00092E71">
        <w:t>Public agencies must confirm registration before considering a bid or awarding a public works contract, and prime contractors are required to make sure their subcontractors are registered.</w:t>
      </w:r>
    </w:p>
    <w:p w:rsidR="004D3F56" w:rsidRPr="00092E71" w:rsidRDefault="004D3F56" w:rsidP="004D3F56">
      <w:pPr>
        <w:pStyle w:val="NoSpacing"/>
      </w:pPr>
    </w:p>
    <w:p w:rsidR="004D3F56" w:rsidRPr="00092E71" w:rsidRDefault="004D3F56" w:rsidP="004D3F56">
      <w:pPr>
        <w:pStyle w:val="NoSpacing"/>
      </w:pPr>
      <w:r w:rsidRPr="00092E71">
        <w:t xml:space="preserve">To register or renew go here: </w:t>
      </w:r>
      <w:hyperlink r:id="rId9" w:history="1">
        <w:r w:rsidRPr="00092E71">
          <w:rPr>
            <w:rStyle w:val="Hyperlink"/>
          </w:rPr>
          <w:t>www.dir.ca.gov/Public-Works/Contractors.html</w:t>
        </w:r>
      </w:hyperlink>
      <w:r w:rsidRPr="00092E71">
        <w:t xml:space="preserve"> </w:t>
      </w:r>
    </w:p>
    <w:p w:rsidR="004D3F56" w:rsidRPr="00092E71" w:rsidRDefault="004D3F56" w:rsidP="004D3F56">
      <w:pPr>
        <w:pStyle w:val="NoSpacing"/>
      </w:pPr>
    </w:p>
    <w:p w:rsidR="004D3F56" w:rsidRPr="00092E71" w:rsidRDefault="004D3F56" w:rsidP="004D3F56">
      <w:pPr>
        <w:pStyle w:val="NoSpacing"/>
        <w:rPr>
          <w:b/>
          <w:u w:val="single"/>
        </w:rPr>
      </w:pPr>
      <w:r w:rsidRPr="00092E71">
        <w:rPr>
          <w:b/>
          <w:u w:val="single"/>
        </w:rPr>
        <w:t>DIR Electronic Certified Payroll Reporting Update</w:t>
      </w:r>
    </w:p>
    <w:p w:rsidR="004D3F56" w:rsidRPr="00092E71" w:rsidRDefault="004D3F56" w:rsidP="004D3F56">
      <w:pPr>
        <w:pStyle w:val="NoSpacing"/>
      </w:pPr>
      <w:r w:rsidRPr="00092E71">
        <w:t>Public works reforms (SB 854) were signed into law on June 20, 2014 as part of the State Budget. The reforms made several significant changes to the administration and enforcement of prevailing wage requirements by the Department of Industrial Relations (DIR). One requirement of SB 854 stated that DIR establish an Electronic Certified Payroll Reporting (</w:t>
      </w:r>
      <w:proofErr w:type="spellStart"/>
      <w:r w:rsidRPr="00092E71">
        <w:t>eCPR</w:t>
      </w:r>
      <w:proofErr w:type="spellEnd"/>
      <w:r w:rsidRPr="00092E71">
        <w:t xml:space="preserve">) system and beginning January 1, 2016, that all contractors and subcontractors must furnish electronic certified payroll records directly to the Labor Commissioner (also known as the Division of Labor Standards Enforcement) through the </w:t>
      </w:r>
      <w:proofErr w:type="spellStart"/>
      <w:r w:rsidRPr="00092E71">
        <w:t>eCPR</w:t>
      </w:r>
      <w:proofErr w:type="spellEnd"/>
      <w:r w:rsidRPr="00092E71">
        <w:t xml:space="preserve"> system.</w:t>
      </w:r>
    </w:p>
    <w:p w:rsidR="004D3F56" w:rsidRPr="00092E71" w:rsidRDefault="004D3F56" w:rsidP="004D3F56">
      <w:pPr>
        <w:pStyle w:val="NoSpacing"/>
      </w:pPr>
    </w:p>
    <w:p w:rsidR="004D3F56" w:rsidRPr="00092E71" w:rsidRDefault="004D3F56" w:rsidP="004D3F56">
      <w:pPr>
        <w:pStyle w:val="NoSpacing"/>
      </w:pPr>
      <w:r w:rsidRPr="00092E71">
        <w:t>The phase-in timetable for this requirement was as follows:</w:t>
      </w:r>
    </w:p>
    <w:p w:rsidR="004D3F56" w:rsidRDefault="004D3F56" w:rsidP="004D3F56">
      <w:pPr>
        <w:pStyle w:val="NoSpacing"/>
        <w:numPr>
          <w:ilvl w:val="0"/>
          <w:numId w:val="39"/>
        </w:numPr>
        <w:autoSpaceDE w:val="0"/>
        <w:autoSpaceDN w:val="0"/>
        <w:ind w:right="-720"/>
      </w:pPr>
      <w:r w:rsidRPr="00092E71">
        <w:t>June 20, 2014: Any project that was being monitored by the CMU/Labor Commissioner prior to the adoption of SB 854 will continue to be monitored by the Labor Commissioner afterward; and the contractors on those projects must continue to furnish certified payroll records to the Labor Commissioner until the project is complete.</w:t>
      </w:r>
    </w:p>
    <w:p w:rsidR="004D3F56" w:rsidRDefault="004D3F56" w:rsidP="004D3F56">
      <w:pPr>
        <w:pStyle w:val="NoSpacing"/>
        <w:numPr>
          <w:ilvl w:val="0"/>
          <w:numId w:val="39"/>
        </w:numPr>
        <w:autoSpaceDE w:val="0"/>
        <w:autoSpaceDN w:val="0"/>
        <w:ind w:right="-720"/>
      </w:pPr>
      <w:r w:rsidRPr="00092E71">
        <w:lastRenderedPageBreak/>
        <w:t>April 1, 2015: For all new projects awarded on or after this date, the contractors and subcontractors must furnish electronic certified payroll records to the Labor Commissioner.</w:t>
      </w:r>
    </w:p>
    <w:p w:rsidR="004D3F56" w:rsidRPr="00092E71" w:rsidRDefault="004D3F56" w:rsidP="004D3F56">
      <w:pPr>
        <w:pStyle w:val="NoSpacing"/>
        <w:numPr>
          <w:ilvl w:val="0"/>
          <w:numId w:val="39"/>
        </w:numPr>
        <w:autoSpaceDE w:val="0"/>
        <w:autoSpaceDN w:val="0"/>
        <w:ind w:right="-720"/>
      </w:pPr>
      <w:r w:rsidRPr="00092E71">
        <w:t xml:space="preserve">January 1, 2016: All contractors must furnish electronic certified payroll records to the Labor Commissioner through the </w:t>
      </w:r>
      <w:proofErr w:type="spellStart"/>
      <w:r w:rsidRPr="00092E71">
        <w:t>eCPR</w:t>
      </w:r>
      <w:proofErr w:type="spellEnd"/>
      <w:r w:rsidRPr="00092E71">
        <w:t xml:space="preserve"> data system.</w:t>
      </w:r>
    </w:p>
    <w:p w:rsidR="004D3F56" w:rsidRPr="00092E71" w:rsidRDefault="004D3F56" w:rsidP="004D3F56">
      <w:pPr>
        <w:pStyle w:val="NoSpacing"/>
      </w:pPr>
    </w:p>
    <w:p w:rsidR="004D3F56" w:rsidRPr="00092E71" w:rsidRDefault="004D3F56" w:rsidP="004D3F56">
      <w:pPr>
        <w:pStyle w:val="NoSpacing"/>
      </w:pPr>
      <w:r w:rsidRPr="00092E71">
        <w:t xml:space="preserve">SB 854 also required that awarding bodies submit a PWC-100 notice (contract award notice) for all public works projects to DIR. An awarding body must submit a PWC-100 in order for contractors to submit their </w:t>
      </w:r>
      <w:proofErr w:type="spellStart"/>
      <w:r w:rsidRPr="00092E71">
        <w:t>eCPR</w:t>
      </w:r>
      <w:proofErr w:type="spellEnd"/>
      <w:r w:rsidRPr="00092E71">
        <w:t xml:space="preserve">. Awarding bodies are required to provide notice to DIR on all projects within five days of project award. Awarding bodies must register in the PWC-100 project registration system </w:t>
      </w:r>
      <w:hyperlink r:id="rId10" w:history="1">
        <w:r w:rsidRPr="00092E71">
          <w:rPr>
            <w:rStyle w:val="Hyperlink"/>
          </w:rPr>
          <w:t>www.dir.ca.gov/pwc100ext/</w:t>
        </w:r>
      </w:hyperlink>
      <w:r w:rsidRPr="00092E71">
        <w:t xml:space="preserve"> in order to notify DIR of their public works projects.</w:t>
      </w:r>
    </w:p>
    <w:p w:rsidR="004D3F56" w:rsidRPr="00092E71" w:rsidRDefault="004D3F56" w:rsidP="004D3F56">
      <w:pPr>
        <w:pStyle w:val="NoSpacing"/>
      </w:pPr>
    </w:p>
    <w:p w:rsidR="004D3F56" w:rsidRPr="00092E71" w:rsidRDefault="004D3F56" w:rsidP="004D3F56">
      <w:pPr>
        <w:pStyle w:val="NoSpacing"/>
        <w:rPr>
          <w:rStyle w:val="Strong"/>
          <w:rFonts w:asciiTheme="minorHAnsi" w:hAnsiTheme="minorHAnsi"/>
          <w:b w:val="0"/>
          <w:color w:val="1F497D" w:themeColor="text2"/>
        </w:rPr>
      </w:pPr>
      <w:r w:rsidRPr="00092E71">
        <w:t xml:space="preserve">Once the program launched, our office fielded numerous calls and e-mails from contractors who were frustrated with the new </w:t>
      </w:r>
      <w:proofErr w:type="spellStart"/>
      <w:r w:rsidRPr="00092E71">
        <w:t>eCPR</w:t>
      </w:r>
      <w:proofErr w:type="spellEnd"/>
      <w:r w:rsidRPr="00092E71">
        <w:t xml:space="preserve"> system. The most common complaint was that previously existing payroll systems used by contracting agencies are more user friendly than the XML format DIR chose.  After meeting with the DIR to discuss the issues our contractors were having with implementation of the system, </w:t>
      </w:r>
      <w:r w:rsidRPr="00092E71">
        <w:rPr>
          <w:rStyle w:val="Strong"/>
          <w:rFonts w:asciiTheme="minorHAnsi" w:hAnsiTheme="minorHAnsi"/>
          <w:b w:val="0"/>
          <w:color w:val="1F497D" w:themeColor="text2"/>
        </w:rPr>
        <w:t xml:space="preserve">DIR issued a </w:t>
      </w:r>
      <w:r w:rsidRPr="00092E71">
        <w:rPr>
          <w:rStyle w:val="Strong"/>
          <w:rFonts w:asciiTheme="minorHAnsi" w:hAnsiTheme="minorHAnsi"/>
          <w:b w:val="0"/>
          <w:bCs w:val="0"/>
          <w:color w:val="1F497D" w:themeColor="text2"/>
        </w:rPr>
        <w:t>notice</w:t>
      </w:r>
      <w:r w:rsidRPr="00092E71">
        <w:rPr>
          <w:rStyle w:val="Strong"/>
          <w:rFonts w:asciiTheme="minorHAnsi" w:hAnsiTheme="minorHAnsi"/>
          <w:b w:val="0"/>
          <w:color w:val="1F497D" w:themeColor="text2"/>
        </w:rPr>
        <w:t xml:space="preserve"> that put the </w:t>
      </w:r>
      <w:proofErr w:type="spellStart"/>
      <w:r w:rsidRPr="00092E71">
        <w:rPr>
          <w:rStyle w:val="Strong"/>
          <w:rFonts w:asciiTheme="minorHAnsi" w:hAnsiTheme="minorHAnsi"/>
          <w:b w:val="0"/>
          <w:color w:val="1F497D" w:themeColor="text2"/>
        </w:rPr>
        <w:t>eCPR</w:t>
      </w:r>
      <w:proofErr w:type="spellEnd"/>
      <w:r w:rsidRPr="00092E71">
        <w:rPr>
          <w:rStyle w:val="Strong"/>
          <w:rFonts w:asciiTheme="minorHAnsi" w:hAnsiTheme="minorHAnsi"/>
          <w:b w:val="0"/>
          <w:color w:val="1F497D" w:themeColor="text2"/>
        </w:rPr>
        <w:t xml:space="preserve"> system on hold while DIR works on improvements.</w:t>
      </w:r>
      <w:r w:rsidRPr="00092E71">
        <w:t xml:space="preserve"> </w:t>
      </w:r>
      <w:r w:rsidRPr="00092E71">
        <w:rPr>
          <w:rStyle w:val="Strong"/>
          <w:rFonts w:asciiTheme="minorHAnsi" w:hAnsiTheme="minorHAnsi"/>
          <w:b w:val="0"/>
          <w:color w:val="1F497D" w:themeColor="text2"/>
        </w:rPr>
        <w:t xml:space="preserve">The hold applies to all public works projects that were subject to the </w:t>
      </w:r>
      <w:proofErr w:type="spellStart"/>
      <w:r w:rsidRPr="00092E71">
        <w:rPr>
          <w:rStyle w:val="Strong"/>
          <w:rFonts w:asciiTheme="minorHAnsi" w:hAnsiTheme="minorHAnsi"/>
          <w:b w:val="0"/>
          <w:color w:val="1F497D" w:themeColor="text2"/>
        </w:rPr>
        <w:t>eCPR</w:t>
      </w:r>
      <w:proofErr w:type="spellEnd"/>
      <w:r w:rsidRPr="00092E71">
        <w:rPr>
          <w:rStyle w:val="Strong"/>
          <w:rFonts w:asciiTheme="minorHAnsi" w:hAnsiTheme="minorHAnsi"/>
          <w:b w:val="0"/>
          <w:color w:val="1F497D" w:themeColor="text2"/>
        </w:rPr>
        <w:t xml:space="preserve"> requirement. </w:t>
      </w:r>
    </w:p>
    <w:p w:rsidR="004D3F56" w:rsidRPr="00092E71" w:rsidRDefault="004D3F56" w:rsidP="004D3F56">
      <w:pPr>
        <w:pStyle w:val="NoSpacing"/>
        <w:rPr>
          <w:rStyle w:val="Strong"/>
          <w:rFonts w:asciiTheme="minorHAnsi" w:hAnsiTheme="minorHAnsi"/>
          <w:b w:val="0"/>
          <w:color w:val="1F497D" w:themeColor="text2"/>
        </w:rPr>
      </w:pPr>
    </w:p>
    <w:p w:rsidR="004D3F56" w:rsidRDefault="004D3F56" w:rsidP="004D3F56">
      <w:pPr>
        <w:pStyle w:val="NoSpacing"/>
        <w:rPr>
          <w:rStyle w:val="ccfontupdated"/>
          <w:rFonts w:cs="Arial"/>
        </w:rPr>
      </w:pPr>
      <w:r w:rsidRPr="00092E71">
        <w:rPr>
          <w:rFonts w:cs="Arial"/>
          <w:lang/>
        </w:rPr>
        <w:t xml:space="preserve">Public works contractors, subcontractors and awarding agencies must still </w:t>
      </w:r>
      <w:proofErr w:type="spellStart"/>
      <w:r w:rsidRPr="00092E71">
        <w:rPr>
          <w:rFonts w:cs="Arial"/>
          <w:lang/>
        </w:rPr>
        <w:t>adhear</w:t>
      </w:r>
      <w:proofErr w:type="spellEnd"/>
      <w:r w:rsidRPr="00092E71">
        <w:rPr>
          <w:rFonts w:cs="Arial"/>
          <w:lang/>
        </w:rPr>
        <w:t xml:space="preserve"> to the 85-year-old requirement to keep certified payroll reports (CPRs). </w:t>
      </w:r>
      <w:r w:rsidRPr="00092E71">
        <w:t xml:space="preserve">However, there is no need to use the DIR </w:t>
      </w:r>
      <w:proofErr w:type="spellStart"/>
      <w:r w:rsidRPr="00092E71">
        <w:t>eCPR</w:t>
      </w:r>
      <w:proofErr w:type="spellEnd"/>
      <w:r w:rsidRPr="00092E71">
        <w:t xml:space="preserve"> system until further notice.  DIR has issued additional notices to provided clarification that</w:t>
      </w:r>
      <w:r w:rsidRPr="00092E71">
        <w:rPr>
          <w:rStyle w:val="ccfontupdated"/>
          <w:rFonts w:asciiTheme="minorHAnsi" w:hAnsiTheme="minorHAnsi" w:cs="Arial"/>
          <w:color w:val="1F497D" w:themeColor="text2"/>
        </w:rPr>
        <w:t xml:space="preserve"> they do not plan to require retroactive submission of </w:t>
      </w:r>
      <w:proofErr w:type="spellStart"/>
      <w:r w:rsidRPr="00092E71">
        <w:rPr>
          <w:rStyle w:val="ccfontupdated"/>
          <w:rFonts w:asciiTheme="minorHAnsi" w:hAnsiTheme="minorHAnsi" w:cs="Arial"/>
          <w:color w:val="1F497D" w:themeColor="text2"/>
        </w:rPr>
        <w:t>eCPRs</w:t>
      </w:r>
      <w:proofErr w:type="spellEnd"/>
      <w:r w:rsidRPr="00092E71">
        <w:rPr>
          <w:rStyle w:val="ccfontupdated"/>
          <w:rFonts w:asciiTheme="minorHAnsi" w:hAnsiTheme="minorHAnsi" w:cs="Arial"/>
          <w:color w:val="1F497D" w:themeColor="text2"/>
        </w:rPr>
        <w:t xml:space="preserve"> once they have completed the upgrades to the </w:t>
      </w:r>
      <w:proofErr w:type="spellStart"/>
      <w:r w:rsidRPr="00092E71">
        <w:rPr>
          <w:rStyle w:val="ccfontupdated"/>
          <w:rFonts w:asciiTheme="minorHAnsi" w:hAnsiTheme="minorHAnsi" w:cs="Arial"/>
          <w:color w:val="1F497D" w:themeColor="text2"/>
        </w:rPr>
        <w:t>eCPR</w:t>
      </w:r>
      <w:proofErr w:type="spellEnd"/>
      <w:r w:rsidRPr="00092E71">
        <w:rPr>
          <w:rStyle w:val="ccfontupdated"/>
          <w:rFonts w:asciiTheme="minorHAnsi" w:hAnsiTheme="minorHAnsi" w:cs="Arial"/>
          <w:color w:val="1F497D" w:themeColor="text2"/>
        </w:rPr>
        <w:t xml:space="preserve"> system, and a reminder to awarding bodies to register projects by using the PWC-100 form. The improved system will begin testing within the next month and DIR is anticipating having it ready by August 2016.</w:t>
      </w:r>
    </w:p>
    <w:p w:rsidR="004D3F56" w:rsidRPr="00092E71" w:rsidRDefault="004D3F56" w:rsidP="004D3F56">
      <w:pPr>
        <w:pStyle w:val="NoSpacing"/>
        <w:rPr>
          <w:rStyle w:val="ccfontupdated"/>
          <w:rFonts w:asciiTheme="minorHAnsi" w:hAnsiTheme="minorHAnsi" w:cs="Arial"/>
          <w:color w:val="1F497D" w:themeColor="text2"/>
        </w:rPr>
      </w:pPr>
    </w:p>
    <w:p w:rsidR="004D3F56" w:rsidRDefault="004D3F56" w:rsidP="004D3F56">
      <w:pPr>
        <w:pStyle w:val="NoSpacing"/>
      </w:pPr>
      <w:r w:rsidRPr="00092E71">
        <w:t>All relevant notices can be found at the following links:</w:t>
      </w:r>
    </w:p>
    <w:p w:rsidR="004D3F56" w:rsidRPr="00092E71" w:rsidRDefault="004D3F56" w:rsidP="004D3F56">
      <w:pPr>
        <w:pStyle w:val="NoSpacing"/>
        <w:rPr>
          <w:rFonts w:cs="Arial"/>
        </w:rPr>
      </w:pPr>
    </w:p>
    <w:p w:rsidR="004D3F56" w:rsidRPr="00092E71" w:rsidRDefault="004D3F56" w:rsidP="004D3F56">
      <w:pPr>
        <w:pStyle w:val="NoSpacing"/>
      </w:pPr>
      <w:r w:rsidRPr="00092E71">
        <w:t xml:space="preserve">Notice to awarding bodies: </w:t>
      </w:r>
      <w:hyperlink r:id="rId11" w:history="1">
        <w:r w:rsidRPr="00092E71">
          <w:rPr>
            <w:rStyle w:val="Hyperlink"/>
          </w:rPr>
          <w:t>www.dir.ca.gov/Public-Works/Public_Works_Notices.htmll</w:t>
        </w:r>
      </w:hyperlink>
      <w:r w:rsidRPr="00092E71">
        <w:t xml:space="preserve"> </w:t>
      </w:r>
    </w:p>
    <w:p w:rsidR="004D3F56" w:rsidRPr="00092E71" w:rsidRDefault="004D3F56" w:rsidP="004D3F56">
      <w:pPr>
        <w:pStyle w:val="NoSpacing"/>
      </w:pPr>
    </w:p>
    <w:p w:rsidR="004D3F56" w:rsidRPr="00092E71" w:rsidRDefault="004D3F56" w:rsidP="004D3F56">
      <w:pPr>
        <w:pStyle w:val="NoSpacing"/>
      </w:pPr>
      <w:r w:rsidRPr="00092E71">
        <w:t xml:space="preserve">Notice of </w:t>
      </w:r>
      <w:proofErr w:type="spellStart"/>
      <w:r w:rsidRPr="00092E71">
        <w:t>eCPR</w:t>
      </w:r>
      <w:proofErr w:type="spellEnd"/>
      <w:r w:rsidRPr="00092E71">
        <w:t xml:space="preserve"> delay: </w:t>
      </w:r>
      <w:hyperlink r:id="rId12" w:history="1">
        <w:r w:rsidRPr="00092E71">
          <w:rPr>
            <w:rStyle w:val="Hyperlink"/>
          </w:rPr>
          <w:t>www.dir.ca.gov/Public-Works/eCPR_important_notice.pdf</w:t>
        </w:r>
      </w:hyperlink>
      <w:r w:rsidRPr="00092E71">
        <w:t xml:space="preserve"> </w:t>
      </w:r>
    </w:p>
    <w:p w:rsidR="004D3F56" w:rsidRPr="00092E71" w:rsidRDefault="004D3F56" w:rsidP="004D3F56">
      <w:pPr>
        <w:pStyle w:val="NoSpacing"/>
      </w:pPr>
    </w:p>
    <w:p w:rsidR="004D3F56" w:rsidRPr="00092E71" w:rsidRDefault="004D3F56" w:rsidP="004D3F56">
      <w:pPr>
        <w:pStyle w:val="NoSpacing"/>
        <w:rPr>
          <w:rStyle w:val="ccfontupdated"/>
          <w:rFonts w:asciiTheme="minorHAnsi" w:hAnsiTheme="minorHAnsi" w:cs="Arial"/>
          <w:color w:val="1F497D" w:themeColor="text2"/>
        </w:rPr>
      </w:pPr>
      <w:r w:rsidRPr="00092E71">
        <w:rPr>
          <w:rStyle w:val="ccfontupdated"/>
          <w:rFonts w:asciiTheme="minorHAnsi" w:hAnsiTheme="minorHAnsi" w:cs="Arial"/>
          <w:color w:val="1F497D" w:themeColor="text2"/>
        </w:rPr>
        <w:t xml:space="preserve">Notice clarifying </w:t>
      </w:r>
      <w:proofErr w:type="spellStart"/>
      <w:r w:rsidRPr="00092E71">
        <w:rPr>
          <w:rStyle w:val="ccfontupdated"/>
          <w:rFonts w:asciiTheme="minorHAnsi" w:hAnsiTheme="minorHAnsi" w:cs="Arial"/>
          <w:color w:val="1F497D" w:themeColor="text2"/>
        </w:rPr>
        <w:t>eCPR</w:t>
      </w:r>
      <w:proofErr w:type="spellEnd"/>
      <w:r w:rsidRPr="00092E71">
        <w:rPr>
          <w:rStyle w:val="ccfontupdated"/>
          <w:rFonts w:asciiTheme="minorHAnsi" w:hAnsiTheme="minorHAnsi" w:cs="Arial"/>
          <w:color w:val="1F497D" w:themeColor="text2"/>
        </w:rPr>
        <w:t xml:space="preserve"> requirement: </w:t>
      </w:r>
      <w:hyperlink r:id="rId13" w:history="1">
        <w:r w:rsidRPr="00092E71">
          <w:rPr>
            <w:rStyle w:val="Hyperlink"/>
            <w:rFonts w:cs="Arial"/>
          </w:rPr>
          <w:t>www.dir.ca.gov/Public-Works/Notice_Clarifying_CPR_Requ</w:t>
        </w:r>
        <w:r w:rsidRPr="00092E71">
          <w:rPr>
            <w:rStyle w:val="Hyperlink"/>
            <w:rFonts w:cs="Arial"/>
          </w:rPr>
          <w:t>i</w:t>
        </w:r>
        <w:r w:rsidRPr="00092E71">
          <w:rPr>
            <w:rStyle w:val="Hyperlink"/>
            <w:rFonts w:cs="Arial"/>
          </w:rPr>
          <w:t>rements.pdf</w:t>
        </w:r>
      </w:hyperlink>
      <w:r w:rsidRPr="00092E71">
        <w:rPr>
          <w:rStyle w:val="ccfontupdated"/>
          <w:rFonts w:cs="Arial"/>
        </w:rPr>
        <w:t xml:space="preserve"> </w:t>
      </w:r>
    </w:p>
    <w:p w:rsidR="004D3F56" w:rsidRPr="00092E71" w:rsidRDefault="004D3F56" w:rsidP="004D3F56">
      <w:pPr>
        <w:pStyle w:val="NoSpacing"/>
      </w:pPr>
    </w:p>
    <w:p w:rsidR="004D3F56" w:rsidRPr="00092E71" w:rsidRDefault="004D3F56" w:rsidP="004D3F56">
      <w:pPr>
        <w:pStyle w:val="NoSpacing"/>
        <w:rPr>
          <w:b/>
          <w:u w:val="single"/>
        </w:rPr>
      </w:pPr>
      <w:r w:rsidRPr="00092E71">
        <w:rPr>
          <w:b/>
          <w:u w:val="single"/>
        </w:rPr>
        <w:t>Prevailing Wage Expansion to Ready-Mix Delivery Effective July 1, 2016</w:t>
      </w:r>
    </w:p>
    <w:p w:rsidR="004D3F56" w:rsidRDefault="004D3F56" w:rsidP="004D3F56">
      <w:pPr>
        <w:pStyle w:val="NoSpacing"/>
      </w:pPr>
      <w:r w:rsidRPr="00092E71">
        <w:t xml:space="preserve">AB 219 was signed by the Governor in 2015 and will go into effect for public works projects awarded on or after July 1, 2016. Under this new law, "hauling and delivery of ready-mixed concrete to carry out a public works contract" will be covered by prevailing wages, along with other unique provisions never before required for prevailing wage compliance. The DIR recently issued a </w:t>
      </w:r>
      <w:hyperlink r:id="rId14" w:tgtFrame="_blank" w:history="1">
        <w:r w:rsidRPr="00092E71">
          <w:rPr>
            <w:rStyle w:val="Hyperlink"/>
            <w:rFonts w:asciiTheme="minorHAnsi" w:hAnsiTheme="minorHAnsi" w:cs="Arial"/>
            <w:color w:val="1F497D" w:themeColor="text2"/>
          </w:rPr>
          <w:t>Con</w:t>
        </w:r>
        <w:r w:rsidRPr="00092E71">
          <w:rPr>
            <w:rStyle w:val="Hyperlink"/>
            <w:rFonts w:asciiTheme="minorHAnsi" w:hAnsiTheme="minorHAnsi" w:cs="Arial"/>
            <w:color w:val="1F497D" w:themeColor="text2"/>
          </w:rPr>
          <w:t>c</w:t>
        </w:r>
        <w:r w:rsidRPr="00092E71">
          <w:rPr>
            <w:rStyle w:val="Hyperlink"/>
            <w:rFonts w:asciiTheme="minorHAnsi" w:hAnsiTheme="minorHAnsi" w:cs="Arial"/>
            <w:color w:val="1F497D" w:themeColor="text2"/>
          </w:rPr>
          <w:t>rete Delivery Legislation (AB 219) Fact Sheet</w:t>
        </w:r>
      </w:hyperlink>
      <w:r w:rsidRPr="00092E71">
        <w:t xml:space="preserve"> to address enforcement policies</w:t>
      </w:r>
      <w:r>
        <w:t>.</w:t>
      </w:r>
    </w:p>
    <w:p w:rsidR="004D3F56" w:rsidRPr="00092E71" w:rsidRDefault="004D3F56" w:rsidP="004D3F56">
      <w:pPr>
        <w:pStyle w:val="NoSpacing"/>
      </w:pPr>
    </w:p>
    <w:p w:rsidR="004D3F56" w:rsidRPr="00092E71" w:rsidRDefault="004D3F56" w:rsidP="004D3F56">
      <w:pPr>
        <w:pStyle w:val="NoSpacing"/>
      </w:pPr>
      <w:r w:rsidRPr="00092E71">
        <w:rPr>
          <w:rFonts w:cs="Arial"/>
        </w:rPr>
        <w:t xml:space="preserve">The DIR Fact Sheet can be viewed here: </w:t>
      </w:r>
      <w:hyperlink r:id="rId15" w:history="1">
        <w:r w:rsidRPr="00092E71">
          <w:rPr>
            <w:rStyle w:val="Hyperlink"/>
            <w:rFonts w:asciiTheme="minorHAnsi" w:hAnsiTheme="minorHAnsi" w:cs="Arial"/>
            <w:color w:val="1F497D" w:themeColor="text2"/>
          </w:rPr>
          <w:t>http://www.dir.ca.gov/ConcreteDeliveryPrevailingWage/AB_219_Fact_Sheet.html</w:t>
        </w:r>
      </w:hyperlink>
      <w:r w:rsidRPr="00092E71">
        <w:rPr>
          <w:rFonts w:cs="Arial"/>
        </w:rPr>
        <w:t xml:space="preserve"> </w:t>
      </w:r>
    </w:p>
    <w:p w:rsidR="00370924" w:rsidRPr="00920795" w:rsidRDefault="00370924" w:rsidP="004D3F56">
      <w:pPr>
        <w:pStyle w:val="NoSpacing"/>
        <w:rPr>
          <w:rFonts w:eastAsia="Times New Roman"/>
          <w:sz w:val="18"/>
          <w:szCs w:val="18"/>
        </w:rPr>
      </w:pPr>
    </w:p>
    <w:sectPr w:rsidR="00370924" w:rsidRPr="00920795" w:rsidSect="002B77BF">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4C" w:rsidRDefault="001A404C" w:rsidP="00656038">
      <w:pPr>
        <w:spacing w:after="0"/>
      </w:pPr>
      <w:r>
        <w:separator/>
      </w:r>
    </w:p>
  </w:endnote>
  <w:endnote w:type="continuationSeparator" w:id="0">
    <w:p w:rsidR="001A404C" w:rsidRDefault="001A404C" w:rsidP="006560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38" w:rsidRDefault="007206F4">
    <w:pPr>
      <w:pStyle w:val="Footer"/>
      <w:pBdr>
        <w:top w:val="single" w:sz="4" w:space="1" w:color="D9D9D9"/>
      </w:pBdr>
      <w:jc w:val="right"/>
    </w:pPr>
    <w:fldSimple w:instr=" PAGE   \* MERGEFORMAT ">
      <w:r w:rsidR="004D3F56">
        <w:rPr>
          <w:noProof/>
        </w:rPr>
        <w:t>2</w:t>
      </w:r>
    </w:fldSimple>
    <w:r w:rsidR="00656038">
      <w:t xml:space="preserve"> | </w:t>
    </w:r>
    <w:r w:rsidR="00656038">
      <w:rPr>
        <w:color w:val="7F7F7F"/>
        <w:spacing w:val="60"/>
      </w:rPr>
      <w:t>Page</w:t>
    </w:r>
  </w:p>
  <w:p w:rsidR="00656038" w:rsidRDefault="00656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4C" w:rsidRDefault="001A404C" w:rsidP="00656038">
      <w:pPr>
        <w:spacing w:after="0"/>
      </w:pPr>
      <w:r>
        <w:separator/>
      </w:r>
    </w:p>
  </w:footnote>
  <w:footnote w:type="continuationSeparator" w:id="0">
    <w:p w:rsidR="001A404C" w:rsidRDefault="001A404C" w:rsidP="006560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B01"/>
    <w:multiLevelType w:val="hybridMultilevel"/>
    <w:tmpl w:val="96F003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B210E3"/>
    <w:multiLevelType w:val="hybridMultilevel"/>
    <w:tmpl w:val="5AE4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A09E3"/>
    <w:multiLevelType w:val="multilevel"/>
    <w:tmpl w:val="11AE8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E2044E"/>
    <w:multiLevelType w:val="multilevel"/>
    <w:tmpl w:val="6A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85681"/>
    <w:multiLevelType w:val="hybridMultilevel"/>
    <w:tmpl w:val="A2FE57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B406B1"/>
    <w:multiLevelType w:val="hybridMultilevel"/>
    <w:tmpl w:val="B0CAA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107B2F"/>
    <w:multiLevelType w:val="hybridMultilevel"/>
    <w:tmpl w:val="D86C235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D4170E"/>
    <w:multiLevelType w:val="multilevel"/>
    <w:tmpl w:val="70527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864C13"/>
    <w:multiLevelType w:val="multilevel"/>
    <w:tmpl w:val="911ED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85136A"/>
    <w:multiLevelType w:val="multilevel"/>
    <w:tmpl w:val="F30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D3A69"/>
    <w:multiLevelType w:val="multilevel"/>
    <w:tmpl w:val="00B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36967"/>
    <w:multiLevelType w:val="hybridMultilevel"/>
    <w:tmpl w:val="E97AAD44"/>
    <w:lvl w:ilvl="0" w:tplc="868EA066">
      <w:start w:val="1"/>
      <w:numFmt w:val="decimal"/>
      <w:lvlText w:val="%1)"/>
      <w:lvlJc w:val="left"/>
      <w:pPr>
        <w:ind w:left="720" w:hanging="360"/>
      </w:pPr>
      <w:rPr>
        <w:rFonts w:asciiTheme="minorHAnsi" w:hAnsiTheme="minorHAnsi"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0B73DD"/>
    <w:multiLevelType w:val="hybridMultilevel"/>
    <w:tmpl w:val="7556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F7BF4"/>
    <w:multiLevelType w:val="hybridMultilevel"/>
    <w:tmpl w:val="4BB245C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62379B"/>
    <w:multiLevelType w:val="multilevel"/>
    <w:tmpl w:val="E70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343E5"/>
    <w:multiLevelType w:val="multilevel"/>
    <w:tmpl w:val="D2F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3E60F6"/>
    <w:multiLevelType w:val="hybridMultilevel"/>
    <w:tmpl w:val="4018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33159"/>
    <w:multiLevelType w:val="multilevel"/>
    <w:tmpl w:val="B06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7D1B24"/>
    <w:multiLevelType w:val="multilevel"/>
    <w:tmpl w:val="B91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E25555"/>
    <w:multiLevelType w:val="hybridMultilevel"/>
    <w:tmpl w:val="187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0150B"/>
    <w:multiLevelType w:val="hybridMultilevel"/>
    <w:tmpl w:val="1C5C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1B05A7"/>
    <w:multiLevelType w:val="multilevel"/>
    <w:tmpl w:val="02C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E97954"/>
    <w:multiLevelType w:val="multilevel"/>
    <w:tmpl w:val="A66C1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0A974E4"/>
    <w:multiLevelType w:val="hybridMultilevel"/>
    <w:tmpl w:val="FD2C3B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63304EB"/>
    <w:multiLevelType w:val="multilevel"/>
    <w:tmpl w:val="C13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6F7B61"/>
    <w:multiLevelType w:val="multilevel"/>
    <w:tmpl w:val="0EE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954D07"/>
    <w:multiLevelType w:val="multilevel"/>
    <w:tmpl w:val="7C9CF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09B3C5B"/>
    <w:multiLevelType w:val="hybridMultilevel"/>
    <w:tmpl w:val="43E63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17B5C9D"/>
    <w:multiLevelType w:val="hybridMultilevel"/>
    <w:tmpl w:val="3A80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F33B5E"/>
    <w:multiLevelType w:val="multilevel"/>
    <w:tmpl w:val="83C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D7C39"/>
    <w:multiLevelType w:val="multilevel"/>
    <w:tmpl w:val="F4C6F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5BE5739"/>
    <w:multiLevelType w:val="hybridMultilevel"/>
    <w:tmpl w:val="F05CAB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76002F0E"/>
    <w:multiLevelType w:val="multilevel"/>
    <w:tmpl w:val="E3643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7719F6"/>
    <w:multiLevelType w:val="hybridMultilevel"/>
    <w:tmpl w:val="099A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CD53CF"/>
    <w:multiLevelType w:val="hybridMultilevel"/>
    <w:tmpl w:val="D096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5B0D5F"/>
    <w:multiLevelType w:val="hybridMultilevel"/>
    <w:tmpl w:val="4822B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F2D3C91"/>
    <w:multiLevelType w:val="hybridMultilevel"/>
    <w:tmpl w:val="A2F6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num>
  <w:num w:numId="15">
    <w:abstractNumId w:val="10"/>
  </w:num>
  <w:num w:numId="16">
    <w:abstractNumId w:val="25"/>
  </w:num>
  <w:num w:numId="17">
    <w:abstractNumId w:val="24"/>
  </w:num>
  <w:num w:numId="18">
    <w:abstractNumId w:val="15"/>
  </w:num>
  <w:num w:numId="19">
    <w:abstractNumId w:val="17"/>
  </w:num>
  <w:num w:numId="20">
    <w:abstractNumId w:val="29"/>
  </w:num>
  <w:num w:numId="21">
    <w:abstractNumId w:val="21"/>
  </w:num>
  <w:num w:numId="22">
    <w:abstractNumId w:val="9"/>
  </w:num>
  <w:num w:numId="23">
    <w:abstractNumId w:val="1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0"/>
  </w:num>
  <w:num w:numId="32">
    <w:abstractNumId w:val="6"/>
  </w:num>
  <w:num w:numId="33">
    <w:abstractNumId w:val="28"/>
  </w:num>
  <w:num w:numId="34">
    <w:abstractNumId w:val="20"/>
  </w:num>
  <w:num w:numId="35">
    <w:abstractNumId w:val="16"/>
  </w:num>
  <w:num w:numId="36">
    <w:abstractNumId w:val="1"/>
  </w:num>
  <w:num w:numId="37">
    <w:abstractNumId w:val="19"/>
  </w:num>
  <w:num w:numId="38">
    <w:abstractNumId w:val="5"/>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4007"/>
    <w:rsid w:val="00015094"/>
    <w:rsid w:val="000303F9"/>
    <w:rsid w:val="00035D3F"/>
    <w:rsid w:val="0007732B"/>
    <w:rsid w:val="000A09B0"/>
    <w:rsid w:val="000A4B39"/>
    <w:rsid w:val="000B7893"/>
    <w:rsid w:val="000C3945"/>
    <w:rsid w:val="000C62B4"/>
    <w:rsid w:val="000C7956"/>
    <w:rsid w:val="000D6F06"/>
    <w:rsid w:val="000F6B0C"/>
    <w:rsid w:val="001046B7"/>
    <w:rsid w:val="00114867"/>
    <w:rsid w:val="0013619B"/>
    <w:rsid w:val="00150FAB"/>
    <w:rsid w:val="00162BAD"/>
    <w:rsid w:val="001956AB"/>
    <w:rsid w:val="001A404C"/>
    <w:rsid w:val="001B2D1E"/>
    <w:rsid w:val="001C3F45"/>
    <w:rsid w:val="001D4F32"/>
    <w:rsid w:val="001D796B"/>
    <w:rsid w:val="001E047A"/>
    <w:rsid w:val="002028B5"/>
    <w:rsid w:val="00210DAC"/>
    <w:rsid w:val="002424DB"/>
    <w:rsid w:val="002545B9"/>
    <w:rsid w:val="00293012"/>
    <w:rsid w:val="002B23CE"/>
    <w:rsid w:val="002B592F"/>
    <w:rsid w:val="002B7256"/>
    <w:rsid w:val="002B77BF"/>
    <w:rsid w:val="002E3702"/>
    <w:rsid w:val="0030114B"/>
    <w:rsid w:val="003040B3"/>
    <w:rsid w:val="00336EF5"/>
    <w:rsid w:val="00355198"/>
    <w:rsid w:val="00370924"/>
    <w:rsid w:val="00390298"/>
    <w:rsid w:val="00391CD9"/>
    <w:rsid w:val="00392B65"/>
    <w:rsid w:val="003A2EC8"/>
    <w:rsid w:val="003A5A2E"/>
    <w:rsid w:val="003B7072"/>
    <w:rsid w:val="003B787A"/>
    <w:rsid w:val="003C126D"/>
    <w:rsid w:val="003C279D"/>
    <w:rsid w:val="003D4AD2"/>
    <w:rsid w:val="003E3B72"/>
    <w:rsid w:val="003F04EB"/>
    <w:rsid w:val="003F799F"/>
    <w:rsid w:val="0040389C"/>
    <w:rsid w:val="004062AC"/>
    <w:rsid w:val="0041477B"/>
    <w:rsid w:val="004308B1"/>
    <w:rsid w:val="00440353"/>
    <w:rsid w:val="00454BC2"/>
    <w:rsid w:val="00475853"/>
    <w:rsid w:val="0049369F"/>
    <w:rsid w:val="004B37EB"/>
    <w:rsid w:val="004C4543"/>
    <w:rsid w:val="004D3F56"/>
    <w:rsid w:val="004F3B51"/>
    <w:rsid w:val="00502AED"/>
    <w:rsid w:val="005103F9"/>
    <w:rsid w:val="005210AD"/>
    <w:rsid w:val="005518AE"/>
    <w:rsid w:val="00561BE9"/>
    <w:rsid w:val="00576732"/>
    <w:rsid w:val="0058316E"/>
    <w:rsid w:val="00583DA4"/>
    <w:rsid w:val="0059228D"/>
    <w:rsid w:val="005966AC"/>
    <w:rsid w:val="00596AE9"/>
    <w:rsid w:val="005A04AE"/>
    <w:rsid w:val="005B76C9"/>
    <w:rsid w:val="005C39DF"/>
    <w:rsid w:val="005C6509"/>
    <w:rsid w:val="005D15FB"/>
    <w:rsid w:val="005D4C71"/>
    <w:rsid w:val="005F46FE"/>
    <w:rsid w:val="005F6A1E"/>
    <w:rsid w:val="005F76EF"/>
    <w:rsid w:val="006053A2"/>
    <w:rsid w:val="006271DD"/>
    <w:rsid w:val="006354BD"/>
    <w:rsid w:val="0064209B"/>
    <w:rsid w:val="00655580"/>
    <w:rsid w:val="00656038"/>
    <w:rsid w:val="006B6137"/>
    <w:rsid w:val="006C262C"/>
    <w:rsid w:val="006C44B4"/>
    <w:rsid w:val="006D6DA5"/>
    <w:rsid w:val="006E4007"/>
    <w:rsid w:val="006E644D"/>
    <w:rsid w:val="006F3384"/>
    <w:rsid w:val="007206F4"/>
    <w:rsid w:val="00725F31"/>
    <w:rsid w:val="00740779"/>
    <w:rsid w:val="007440BE"/>
    <w:rsid w:val="00763774"/>
    <w:rsid w:val="00797F48"/>
    <w:rsid w:val="007A60EE"/>
    <w:rsid w:val="007B4978"/>
    <w:rsid w:val="007D6730"/>
    <w:rsid w:val="007E03E2"/>
    <w:rsid w:val="007E1115"/>
    <w:rsid w:val="007E2C26"/>
    <w:rsid w:val="00802306"/>
    <w:rsid w:val="00805896"/>
    <w:rsid w:val="00825DE3"/>
    <w:rsid w:val="00842A68"/>
    <w:rsid w:val="008466D9"/>
    <w:rsid w:val="0085519F"/>
    <w:rsid w:val="00861808"/>
    <w:rsid w:val="00896FD8"/>
    <w:rsid w:val="008A6272"/>
    <w:rsid w:val="008B3CB5"/>
    <w:rsid w:val="008B3DCA"/>
    <w:rsid w:val="008C6693"/>
    <w:rsid w:val="008C72D7"/>
    <w:rsid w:val="008E2741"/>
    <w:rsid w:val="008F5835"/>
    <w:rsid w:val="00906B5F"/>
    <w:rsid w:val="0091493F"/>
    <w:rsid w:val="00920795"/>
    <w:rsid w:val="009269EB"/>
    <w:rsid w:val="00941EEC"/>
    <w:rsid w:val="00950B08"/>
    <w:rsid w:val="0095224E"/>
    <w:rsid w:val="00953624"/>
    <w:rsid w:val="009662AC"/>
    <w:rsid w:val="009819D3"/>
    <w:rsid w:val="009826E6"/>
    <w:rsid w:val="0099018D"/>
    <w:rsid w:val="009A533D"/>
    <w:rsid w:val="009B0372"/>
    <w:rsid w:val="009B1EBC"/>
    <w:rsid w:val="009B4E43"/>
    <w:rsid w:val="009B6368"/>
    <w:rsid w:val="009C0F19"/>
    <w:rsid w:val="009C36B8"/>
    <w:rsid w:val="009E29AE"/>
    <w:rsid w:val="009E3732"/>
    <w:rsid w:val="00A020CE"/>
    <w:rsid w:val="00A02922"/>
    <w:rsid w:val="00A03FED"/>
    <w:rsid w:val="00A07D9D"/>
    <w:rsid w:val="00A1669D"/>
    <w:rsid w:val="00A200A4"/>
    <w:rsid w:val="00A21641"/>
    <w:rsid w:val="00A221E6"/>
    <w:rsid w:val="00A45D76"/>
    <w:rsid w:val="00A81F58"/>
    <w:rsid w:val="00AA6DCF"/>
    <w:rsid w:val="00AB0964"/>
    <w:rsid w:val="00AC40CB"/>
    <w:rsid w:val="00AC44CC"/>
    <w:rsid w:val="00AC6AFA"/>
    <w:rsid w:val="00AD4179"/>
    <w:rsid w:val="00AE0049"/>
    <w:rsid w:val="00AE755C"/>
    <w:rsid w:val="00AF3F57"/>
    <w:rsid w:val="00AF7743"/>
    <w:rsid w:val="00AF7A69"/>
    <w:rsid w:val="00B2015E"/>
    <w:rsid w:val="00B247FE"/>
    <w:rsid w:val="00B37E2B"/>
    <w:rsid w:val="00B468DE"/>
    <w:rsid w:val="00B62030"/>
    <w:rsid w:val="00B758D0"/>
    <w:rsid w:val="00B7676E"/>
    <w:rsid w:val="00B84DBC"/>
    <w:rsid w:val="00BA5983"/>
    <w:rsid w:val="00BA6E28"/>
    <w:rsid w:val="00BB3164"/>
    <w:rsid w:val="00BB4B3C"/>
    <w:rsid w:val="00BB62DA"/>
    <w:rsid w:val="00BD7E15"/>
    <w:rsid w:val="00BF2552"/>
    <w:rsid w:val="00C02A8F"/>
    <w:rsid w:val="00C14620"/>
    <w:rsid w:val="00C40E3B"/>
    <w:rsid w:val="00C47143"/>
    <w:rsid w:val="00C62924"/>
    <w:rsid w:val="00C66354"/>
    <w:rsid w:val="00C71CDF"/>
    <w:rsid w:val="00CA2B3B"/>
    <w:rsid w:val="00CA3D30"/>
    <w:rsid w:val="00CC4C64"/>
    <w:rsid w:val="00CE4B65"/>
    <w:rsid w:val="00CF4FD7"/>
    <w:rsid w:val="00CF6FB8"/>
    <w:rsid w:val="00D013C8"/>
    <w:rsid w:val="00D41165"/>
    <w:rsid w:val="00D44563"/>
    <w:rsid w:val="00D565C4"/>
    <w:rsid w:val="00D61E81"/>
    <w:rsid w:val="00D94246"/>
    <w:rsid w:val="00DC4FAD"/>
    <w:rsid w:val="00DF55FF"/>
    <w:rsid w:val="00DF73CE"/>
    <w:rsid w:val="00E007BB"/>
    <w:rsid w:val="00E024AB"/>
    <w:rsid w:val="00E10855"/>
    <w:rsid w:val="00E12AE9"/>
    <w:rsid w:val="00E26B42"/>
    <w:rsid w:val="00E5431A"/>
    <w:rsid w:val="00EA5EF4"/>
    <w:rsid w:val="00EB059A"/>
    <w:rsid w:val="00EB0744"/>
    <w:rsid w:val="00EB6B93"/>
    <w:rsid w:val="00EC614F"/>
    <w:rsid w:val="00EF01EC"/>
    <w:rsid w:val="00EF557E"/>
    <w:rsid w:val="00F10832"/>
    <w:rsid w:val="00F1289E"/>
    <w:rsid w:val="00F13F9D"/>
    <w:rsid w:val="00F167D8"/>
    <w:rsid w:val="00F26247"/>
    <w:rsid w:val="00F46BD2"/>
    <w:rsid w:val="00F67CA8"/>
    <w:rsid w:val="00F77B78"/>
    <w:rsid w:val="00FB2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BF"/>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A2E"/>
    <w:rPr>
      <w:color w:val="0000FF"/>
      <w:u w:val="single"/>
    </w:rPr>
  </w:style>
  <w:style w:type="paragraph" w:styleId="NoSpacing">
    <w:name w:val="No Spacing"/>
    <w:basedOn w:val="Normal"/>
    <w:uiPriority w:val="1"/>
    <w:qFormat/>
    <w:rsid w:val="003A5A2E"/>
    <w:pPr>
      <w:spacing w:after="0"/>
    </w:pPr>
  </w:style>
  <w:style w:type="character" w:styleId="Strong">
    <w:name w:val="Strong"/>
    <w:basedOn w:val="DefaultParagraphFont"/>
    <w:uiPriority w:val="22"/>
    <w:qFormat/>
    <w:rsid w:val="006053A2"/>
    <w:rPr>
      <w:b/>
      <w:bCs/>
    </w:rPr>
  </w:style>
  <w:style w:type="paragraph" w:styleId="Header">
    <w:name w:val="header"/>
    <w:basedOn w:val="Normal"/>
    <w:link w:val="HeaderChar"/>
    <w:uiPriority w:val="99"/>
    <w:semiHidden/>
    <w:unhideWhenUsed/>
    <w:rsid w:val="00656038"/>
    <w:pPr>
      <w:tabs>
        <w:tab w:val="center" w:pos="4680"/>
        <w:tab w:val="right" w:pos="9360"/>
      </w:tabs>
    </w:pPr>
  </w:style>
  <w:style w:type="character" w:customStyle="1" w:styleId="HeaderChar">
    <w:name w:val="Header Char"/>
    <w:basedOn w:val="DefaultParagraphFont"/>
    <w:link w:val="Header"/>
    <w:uiPriority w:val="99"/>
    <w:semiHidden/>
    <w:rsid w:val="00656038"/>
    <w:rPr>
      <w:sz w:val="22"/>
      <w:szCs w:val="22"/>
    </w:rPr>
  </w:style>
  <w:style w:type="paragraph" w:styleId="Footer">
    <w:name w:val="footer"/>
    <w:basedOn w:val="Normal"/>
    <w:link w:val="FooterChar"/>
    <w:uiPriority w:val="99"/>
    <w:unhideWhenUsed/>
    <w:rsid w:val="00656038"/>
    <w:pPr>
      <w:tabs>
        <w:tab w:val="center" w:pos="4680"/>
        <w:tab w:val="right" w:pos="9360"/>
      </w:tabs>
    </w:pPr>
  </w:style>
  <w:style w:type="character" w:customStyle="1" w:styleId="FooterChar">
    <w:name w:val="Footer Char"/>
    <w:basedOn w:val="DefaultParagraphFont"/>
    <w:link w:val="Footer"/>
    <w:uiPriority w:val="99"/>
    <w:rsid w:val="00656038"/>
    <w:rPr>
      <w:sz w:val="22"/>
      <w:szCs w:val="22"/>
    </w:rPr>
  </w:style>
  <w:style w:type="paragraph" w:styleId="NormalWeb">
    <w:name w:val="Normal (Web)"/>
    <w:basedOn w:val="Normal"/>
    <w:uiPriority w:val="99"/>
    <w:semiHidden/>
    <w:unhideWhenUsed/>
    <w:rsid w:val="00C66354"/>
    <w:pPr>
      <w:spacing w:before="100" w:beforeAutospacing="1" w:after="100" w:afterAutospacing="1"/>
    </w:pPr>
    <w:rPr>
      <w:rFonts w:ascii="Times New Roman" w:hAnsi="Times New Roman"/>
      <w:sz w:val="24"/>
      <w:szCs w:val="24"/>
    </w:rPr>
  </w:style>
  <w:style w:type="paragraph" w:customStyle="1" w:styleId="Default">
    <w:name w:val="Default"/>
    <w:basedOn w:val="Normal"/>
    <w:uiPriority w:val="99"/>
    <w:rsid w:val="00C66354"/>
    <w:pPr>
      <w:autoSpaceDE w:val="0"/>
      <w:autoSpaceDN w:val="0"/>
      <w:spacing w:after="0"/>
    </w:pPr>
    <w:rPr>
      <w:rFonts w:ascii="Arial" w:hAnsi="Arial" w:cs="Arial"/>
      <w:color w:val="000000"/>
      <w:sz w:val="24"/>
      <w:szCs w:val="24"/>
    </w:rPr>
  </w:style>
  <w:style w:type="character" w:styleId="Emphasis">
    <w:name w:val="Emphasis"/>
    <w:basedOn w:val="DefaultParagraphFont"/>
    <w:uiPriority w:val="20"/>
    <w:qFormat/>
    <w:rsid w:val="00BA6E28"/>
    <w:rPr>
      <w:i/>
      <w:iCs/>
    </w:rPr>
  </w:style>
  <w:style w:type="paragraph" w:styleId="HTMLPreformatted">
    <w:name w:val="HTML Preformatted"/>
    <w:basedOn w:val="Normal"/>
    <w:link w:val="HTMLPreformattedChar"/>
    <w:uiPriority w:val="99"/>
    <w:unhideWhenUsed/>
    <w:rsid w:val="0076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63774"/>
    <w:rPr>
      <w:rFonts w:ascii="Courier New" w:eastAsia="Calibri" w:hAnsi="Courier New" w:cs="Courier New"/>
    </w:rPr>
  </w:style>
  <w:style w:type="character" w:styleId="FollowedHyperlink">
    <w:name w:val="FollowedHyperlink"/>
    <w:basedOn w:val="DefaultParagraphFont"/>
    <w:uiPriority w:val="99"/>
    <w:semiHidden/>
    <w:unhideWhenUsed/>
    <w:rsid w:val="00EA5EF4"/>
    <w:rPr>
      <w:color w:val="800080"/>
      <w:u w:val="single"/>
    </w:rPr>
  </w:style>
  <w:style w:type="paragraph" w:styleId="ListParagraph">
    <w:name w:val="List Paragraph"/>
    <w:basedOn w:val="Normal"/>
    <w:uiPriority w:val="34"/>
    <w:qFormat/>
    <w:rsid w:val="00114867"/>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semiHidden/>
    <w:unhideWhenUsed/>
    <w:rsid w:val="00576732"/>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76732"/>
    <w:rPr>
      <w:rFonts w:ascii="Consolas" w:eastAsiaTheme="minorHAnsi" w:hAnsi="Consolas" w:cstheme="minorBidi"/>
      <w:sz w:val="21"/>
      <w:szCs w:val="21"/>
    </w:rPr>
  </w:style>
  <w:style w:type="paragraph" w:customStyle="1" w:styleId="Body1">
    <w:name w:val="Body 1"/>
    <w:basedOn w:val="Normal"/>
    <w:rsid w:val="0095224E"/>
    <w:pPr>
      <w:spacing w:before="100" w:after="100"/>
    </w:pPr>
    <w:rPr>
      <w:rFonts w:ascii="Arial" w:eastAsiaTheme="minorHAnsi" w:hAnsi="Arial" w:cs="Arial"/>
      <w:b/>
      <w:bCs/>
      <w:color w:val="000000"/>
      <w:sz w:val="28"/>
      <w:szCs w:val="28"/>
    </w:rPr>
  </w:style>
  <w:style w:type="paragraph" w:styleId="BalloonText">
    <w:name w:val="Balloon Text"/>
    <w:basedOn w:val="Normal"/>
    <w:link w:val="BalloonTextChar"/>
    <w:uiPriority w:val="99"/>
    <w:semiHidden/>
    <w:unhideWhenUsed/>
    <w:rsid w:val="009522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4E"/>
    <w:rPr>
      <w:rFonts w:ascii="Tahoma" w:hAnsi="Tahoma" w:cs="Tahoma"/>
      <w:sz w:val="16"/>
      <w:szCs w:val="16"/>
    </w:rPr>
  </w:style>
  <w:style w:type="character" w:customStyle="1" w:styleId="ccfontupdated">
    <w:name w:val="ccfontupdated"/>
    <w:basedOn w:val="DefaultParagraphFont"/>
    <w:rsid w:val="004D3F56"/>
  </w:style>
</w:styles>
</file>

<file path=word/webSettings.xml><?xml version="1.0" encoding="utf-8"?>
<w:webSettings xmlns:r="http://schemas.openxmlformats.org/officeDocument/2006/relationships" xmlns:w="http://schemas.openxmlformats.org/wordprocessingml/2006/main">
  <w:divs>
    <w:div w:id="70127224">
      <w:bodyDiv w:val="1"/>
      <w:marLeft w:val="0"/>
      <w:marRight w:val="0"/>
      <w:marTop w:val="0"/>
      <w:marBottom w:val="0"/>
      <w:divBdr>
        <w:top w:val="none" w:sz="0" w:space="0" w:color="auto"/>
        <w:left w:val="none" w:sz="0" w:space="0" w:color="auto"/>
        <w:bottom w:val="none" w:sz="0" w:space="0" w:color="auto"/>
        <w:right w:val="none" w:sz="0" w:space="0" w:color="auto"/>
      </w:divBdr>
    </w:div>
    <w:div w:id="182979093">
      <w:bodyDiv w:val="1"/>
      <w:marLeft w:val="0"/>
      <w:marRight w:val="0"/>
      <w:marTop w:val="0"/>
      <w:marBottom w:val="0"/>
      <w:divBdr>
        <w:top w:val="none" w:sz="0" w:space="0" w:color="auto"/>
        <w:left w:val="none" w:sz="0" w:space="0" w:color="auto"/>
        <w:bottom w:val="none" w:sz="0" w:space="0" w:color="auto"/>
        <w:right w:val="none" w:sz="0" w:space="0" w:color="auto"/>
      </w:divBdr>
    </w:div>
    <w:div w:id="227962813">
      <w:bodyDiv w:val="1"/>
      <w:marLeft w:val="0"/>
      <w:marRight w:val="0"/>
      <w:marTop w:val="0"/>
      <w:marBottom w:val="0"/>
      <w:divBdr>
        <w:top w:val="none" w:sz="0" w:space="0" w:color="auto"/>
        <w:left w:val="none" w:sz="0" w:space="0" w:color="auto"/>
        <w:bottom w:val="none" w:sz="0" w:space="0" w:color="auto"/>
        <w:right w:val="none" w:sz="0" w:space="0" w:color="auto"/>
      </w:divBdr>
    </w:div>
    <w:div w:id="257102581">
      <w:bodyDiv w:val="1"/>
      <w:marLeft w:val="0"/>
      <w:marRight w:val="0"/>
      <w:marTop w:val="0"/>
      <w:marBottom w:val="0"/>
      <w:divBdr>
        <w:top w:val="none" w:sz="0" w:space="0" w:color="auto"/>
        <w:left w:val="none" w:sz="0" w:space="0" w:color="auto"/>
        <w:bottom w:val="none" w:sz="0" w:space="0" w:color="auto"/>
        <w:right w:val="none" w:sz="0" w:space="0" w:color="auto"/>
      </w:divBdr>
    </w:div>
    <w:div w:id="416095113">
      <w:bodyDiv w:val="1"/>
      <w:marLeft w:val="0"/>
      <w:marRight w:val="0"/>
      <w:marTop w:val="0"/>
      <w:marBottom w:val="0"/>
      <w:divBdr>
        <w:top w:val="none" w:sz="0" w:space="0" w:color="auto"/>
        <w:left w:val="none" w:sz="0" w:space="0" w:color="auto"/>
        <w:bottom w:val="none" w:sz="0" w:space="0" w:color="auto"/>
        <w:right w:val="none" w:sz="0" w:space="0" w:color="auto"/>
      </w:divBdr>
    </w:div>
    <w:div w:id="473183100">
      <w:bodyDiv w:val="1"/>
      <w:marLeft w:val="0"/>
      <w:marRight w:val="0"/>
      <w:marTop w:val="0"/>
      <w:marBottom w:val="0"/>
      <w:divBdr>
        <w:top w:val="none" w:sz="0" w:space="0" w:color="auto"/>
        <w:left w:val="none" w:sz="0" w:space="0" w:color="auto"/>
        <w:bottom w:val="none" w:sz="0" w:space="0" w:color="auto"/>
        <w:right w:val="none" w:sz="0" w:space="0" w:color="auto"/>
      </w:divBdr>
    </w:div>
    <w:div w:id="478419578">
      <w:bodyDiv w:val="1"/>
      <w:marLeft w:val="0"/>
      <w:marRight w:val="0"/>
      <w:marTop w:val="0"/>
      <w:marBottom w:val="0"/>
      <w:divBdr>
        <w:top w:val="none" w:sz="0" w:space="0" w:color="auto"/>
        <w:left w:val="none" w:sz="0" w:space="0" w:color="auto"/>
        <w:bottom w:val="none" w:sz="0" w:space="0" w:color="auto"/>
        <w:right w:val="none" w:sz="0" w:space="0" w:color="auto"/>
      </w:divBdr>
    </w:div>
    <w:div w:id="501743825">
      <w:bodyDiv w:val="1"/>
      <w:marLeft w:val="0"/>
      <w:marRight w:val="0"/>
      <w:marTop w:val="0"/>
      <w:marBottom w:val="0"/>
      <w:divBdr>
        <w:top w:val="none" w:sz="0" w:space="0" w:color="auto"/>
        <w:left w:val="none" w:sz="0" w:space="0" w:color="auto"/>
        <w:bottom w:val="none" w:sz="0" w:space="0" w:color="auto"/>
        <w:right w:val="none" w:sz="0" w:space="0" w:color="auto"/>
      </w:divBdr>
    </w:div>
    <w:div w:id="502161384">
      <w:bodyDiv w:val="1"/>
      <w:marLeft w:val="0"/>
      <w:marRight w:val="0"/>
      <w:marTop w:val="0"/>
      <w:marBottom w:val="0"/>
      <w:divBdr>
        <w:top w:val="none" w:sz="0" w:space="0" w:color="auto"/>
        <w:left w:val="none" w:sz="0" w:space="0" w:color="auto"/>
        <w:bottom w:val="none" w:sz="0" w:space="0" w:color="auto"/>
        <w:right w:val="none" w:sz="0" w:space="0" w:color="auto"/>
      </w:divBdr>
    </w:div>
    <w:div w:id="823278922">
      <w:bodyDiv w:val="1"/>
      <w:marLeft w:val="0"/>
      <w:marRight w:val="0"/>
      <w:marTop w:val="0"/>
      <w:marBottom w:val="0"/>
      <w:divBdr>
        <w:top w:val="none" w:sz="0" w:space="0" w:color="auto"/>
        <w:left w:val="none" w:sz="0" w:space="0" w:color="auto"/>
        <w:bottom w:val="none" w:sz="0" w:space="0" w:color="auto"/>
        <w:right w:val="none" w:sz="0" w:space="0" w:color="auto"/>
      </w:divBdr>
    </w:div>
    <w:div w:id="837308423">
      <w:bodyDiv w:val="1"/>
      <w:marLeft w:val="0"/>
      <w:marRight w:val="0"/>
      <w:marTop w:val="0"/>
      <w:marBottom w:val="0"/>
      <w:divBdr>
        <w:top w:val="none" w:sz="0" w:space="0" w:color="auto"/>
        <w:left w:val="none" w:sz="0" w:space="0" w:color="auto"/>
        <w:bottom w:val="none" w:sz="0" w:space="0" w:color="auto"/>
        <w:right w:val="none" w:sz="0" w:space="0" w:color="auto"/>
      </w:divBdr>
    </w:div>
    <w:div w:id="856967021">
      <w:bodyDiv w:val="1"/>
      <w:marLeft w:val="0"/>
      <w:marRight w:val="0"/>
      <w:marTop w:val="0"/>
      <w:marBottom w:val="0"/>
      <w:divBdr>
        <w:top w:val="none" w:sz="0" w:space="0" w:color="auto"/>
        <w:left w:val="none" w:sz="0" w:space="0" w:color="auto"/>
        <w:bottom w:val="none" w:sz="0" w:space="0" w:color="auto"/>
        <w:right w:val="none" w:sz="0" w:space="0" w:color="auto"/>
      </w:divBdr>
    </w:div>
    <w:div w:id="910962197">
      <w:bodyDiv w:val="1"/>
      <w:marLeft w:val="0"/>
      <w:marRight w:val="0"/>
      <w:marTop w:val="0"/>
      <w:marBottom w:val="0"/>
      <w:divBdr>
        <w:top w:val="none" w:sz="0" w:space="0" w:color="auto"/>
        <w:left w:val="none" w:sz="0" w:space="0" w:color="auto"/>
        <w:bottom w:val="none" w:sz="0" w:space="0" w:color="auto"/>
        <w:right w:val="none" w:sz="0" w:space="0" w:color="auto"/>
      </w:divBdr>
    </w:div>
    <w:div w:id="956302754">
      <w:bodyDiv w:val="1"/>
      <w:marLeft w:val="0"/>
      <w:marRight w:val="0"/>
      <w:marTop w:val="0"/>
      <w:marBottom w:val="0"/>
      <w:divBdr>
        <w:top w:val="none" w:sz="0" w:space="0" w:color="auto"/>
        <w:left w:val="none" w:sz="0" w:space="0" w:color="auto"/>
        <w:bottom w:val="none" w:sz="0" w:space="0" w:color="auto"/>
        <w:right w:val="none" w:sz="0" w:space="0" w:color="auto"/>
      </w:divBdr>
    </w:div>
    <w:div w:id="1001002754">
      <w:bodyDiv w:val="1"/>
      <w:marLeft w:val="0"/>
      <w:marRight w:val="0"/>
      <w:marTop w:val="0"/>
      <w:marBottom w:val="0"/>
      <w:divBdr>
        <w:top w:val="none" w:sz="0" w:space="0" w:color="auto"/>
        <w:left w:val="none" w:sz="0" w:space="0" w:color="auto"/>
        <w:bottom w:val="none" w:sz="0" w:space="0" w:color="auto"/>
        <w:right w:val="none" w:sz="0" w:space="0" w:color="auto"/>
      </w:divBdr>
    </w:div>
    <w:div w:id="1088234806">
      <w:bodyDiv w:val="1"/>
      <w:marLeft w:val="0"/>
      <w:marRight w:val="0"/>
      <w:marTop w:val="0"/>
      <w:marBottom w:val="0"/>
      <w:divBdr>
        <w:top w:val="none" w:sz="0" w:space="0" w:color="auto"/>
        <w:left w:val="none" w:sz="0" w:space="0" w:color="auto"/>
        <w:bottom w:val="none" w:sz="0" w:space="0" w:color="auto"/>
        <w:right w:val="none" w:sz="0" w:space="0" w:color="auto"/>
      </w:divBdr>
    </w:div>
    <w:div w:id="1227183047">
      <w:bodyDiv w:val="1"/>
      <w:marLeft w:val="0"/>
      <w:marRight w:val="0"/>
      <w:marTop w:val="0"/>
      <w:marBottom w:val="0"/>
      <w:divBdr>
        <w:top w:val="none" w:sz="0" w:space="0" w:color="auto"/>
        <w:left w:val="none" w:sz="0" w:space="0" w:color="auto"/>
        <w:bottom w:val="none" w:sz="0" w:space="0" w:color="auto"/>
        <w:right w:val="none" w:sz="0" w:space="0" w:color="auto"/>
      </w:divBdr>
    </w:div>
    <w:div w:id="1310327184">
      <w:bodyDiv w:val="1"/>
      <w:marLeft w:val="0"/>
      <w:marRight w:val="0"/>
      <w:marTop w:val="0"/>
      <w:marBottom w:val="0"/>
      <w:divBdr>
        <w:top w:val="none" w:sz="0" w:space="0" w:color="auto"/>
        <w:left w:val="none" w:sz="0" w:space="0" w:color="auto"/>
        <w:bottom w:val="none" w:sz="0" w:space="0" w:color="auto"/>
        <w:right w:val="none" w:sz="0" w:space="0" w:color="auto"/>
      </w:divBdr>
    </w:div>
    <w:div w:id="1332299545">
      <w:bodyDiv w:val="1"/>
      <w:marLeft w:val="0"/>
      <w:marRight w:val="0"/>
      <w:marTop w:val="0"/>
      <w:marBottom w:val="0"/>
      <w:divBdr>
        <w:top w:val="none" w:sz="0" w:space="0" w:color="auto"/>
        <w:left w:val="none" w:sz="0" w:space="0" w:color="auto"/>
        <w:bottom w:val="none" w:sz="0" w:space="0" w:color="auto"/>
        <w:right w:val="none" w:sz="0" w:space="0" w:color="auto"/>
      </w:divBdr>
    </w:div>
    <w:div w:id="1376856095">
      <w:bodyDiv w:val="1"/>
      <w:marLeft w:val="0"/>
      <w:marRight w:val="0"/>
      <w:marTop w:val="0"/>
      <w:marBottom w:val="0"/>
      <w:divBdr>
        <w:top w:val="none" w:sz="0" w:space="0" w:color="auto"/>
        <w:left w:val="none" w:sz="0" w:space="0" w:color="auto"/>
        <w:bottom w:val="none" w:sz="0" w:space="0" w:color="auto"/>
        <w:right w:val="none" w:sz="0" w:space="0" w:color="auto"/>
      </w:divBdr>
    </w:div>
    <w:div w:id="1396271091">
      <w:bodyDiv w:val="1"/>
      <w:marLeft w:val="0"/>
      <w:marRight w:val="0"/>
      <w:marTop w:val="0"/>
      <w:marBottom w:val="0"/>
      <w:divBdr>
        <w:top w:val="none" w:sz="0" w:space="0" w:color="auto"/>
        <w:left w:val="none" w:sz="0" w:space="0" w:color="auto"/>
        <w:bottom w:val="none" w:sz="0" w:space="0" w:color="auto"/>
        <w:right w:val="none" w:sz="0" w:space="0" w:color="auto"/>
      </w:divBdr>
    </w:div>
    <w:div w:id="1428650322">
      <w:bodyDiv w:val="1"/>
      <w:marLeft w:val="0"/>
      <w:marRight w:val="0"/>
      <w:marTop w:val="0"/>
      <w:marBottom w:val="0"/>
      <w:divBdr>
        <w:top w:val="none" w:sz="0" w:space="0" w:color="auto"/>
        <w:left w:val="none" w:sz="0" w:space="0" w:color="auto"/>
        <w:bottom w:val="none" w:sz="0" w:space="0" w:color="auto"/>
        <w:right w:val="none" w:sz="0" w:space="0" w:color="auto"/>
      </w:divBdr>
    </w:div>
    <w:div w:id="1439372976">
      <w:bodyDiv w:val="1"/>
      <w:marLeft w:val="0"/>
      <w:marRight w:val="0"/>
      <w:marTop w:val="0"/>
      <w:marBottom w:val="0"/>
      <w:divBdr>
        <w:top w:val="none" w:sz="0" w:space="0" w:color="auto"/>
        <w:left w:val="none" w:sz="0" w:space="0" w:color="auto"/>
        <w:bottom w:val="none" w:sz="0" w:space="0" w:color="auto"/>
        <w:right w:val="none" w:sz="0" w:space="0" w:color="auto"/>
      </w:divBdr>
    </w:div>
    <w:div w:id="1599675308">
      <w:bodyDiv w:val="1"/>
      <w:marLeft w:val="0"/>
      <w:marRight w:val="0"/>
      <w:marTop w:val="0"/>
      <w:marBottom w:val="0"/>
      <w:divBdr>
        <w:top w:val="none" w:sz="0" w:space="0" w:color="auto"/>
        <w:left w:val="none" w:sz="0" w:space="0" w:color="auto"/>
        <w:bottom w:val="none" w:sz="0" w:space="0" w:color="auto"/>
        <w:right w:val="none" w:sz="0" w:space="0" w:color="auto"/>
      </w:divBdr>
    </w:div>
    <w:div w:id="1743290266">
      <w:bodyDiv w:val="1"/>
      <w:marLeft w:val="0"/>
      <w:marRight w:val="0"/>
      <w:marTop w:val="0"/>
      <w:marBottom w:val="0"/>
      <w:divBdr>
        <w:top w:val="none" w:sz="0" w:space="0" w:color="auto"/>
        <w:left w:val="none" w:sz="0" w:space="0" w:color="auto"/>
        <w:bottom w:val="none" w:sz="0" w:space="0" w:color="auto"/>
        <w:right w:val="none" w:sz="0" w:space="0" w:color="auto"/>
      </w:divBdr>
    </w:div>
    <w:div w:id="1793474427">
      <w:bodyDiv w:val="1"/>
      <w:marLeft w:val="0"/>
      <w:marRight w:val="0"/>
      <w:marTop w:val="0"/>
      <w:marBottom w:val="0"/>
      <w:divBdr>
        <w:top w:val="none" w:sz="0" w:space="0" w:color="auto"/>
        <w:left w:val="none" w:sz="0" w:space="0" w:color="auto"/>
        <w:bottom w:val="none" w:sz="0" w:space="0" w:color="auto"/>
        <w:right w:val="none" w:sz="0" w:space="0" w:color="auto"/>
      </w:divBdr>
    </w:div>
    <w:div w:id="1885826775">
      <w:bodyDiv w:val="1"/>
      <w:marLeft w:val="0"/>
      <w:marRight w:val="0"/>
      <w:marTop w:val="0"/>
      <w:marBottom w:val="0"/>
      <w:divBdr>
        <w:top w:val="none" w:sz="0" w:space="0" w:color="auto"/>
        <w:left w:val="none" w:sz="0" w:space="0" w:color="auto"/>
        <w:bottom w:val="none" w:sz="0" w:space="0" w:color="auto"/>
        <w:right w:val="none" w:sz="0" w:space="0" w:color="auto"/>
      </w:divBdr>
    </w:div>
    <w:div w:id="1963610084">
      <w:bodyDiv w:val="1"/>
      <w:marLeft w:val="0"/>
      <w:marRight w:val="0"/>
      <w:marTop w:val="0"/>
      <w:marBottom w:val="0"/>
      <w:divBdr>
        <w:top w:val="none" w:sz="0" w:space="0" w:color="auto"/>
        <w:left w:val="none" w:sz="0" w:space="0" w:color="auto"/>
        <w:bottom w:val="none" w:sz="0" w:space="0" w:color="auto"/>
        <w:right w:val="none" w:sz="0" w:space="0" w:color="auto"/>
      </w:divBdr>
    </w:div>
    <w:div w:id="2009747665">
      <w:bodyDiv w:val="1"/>
      <w:marLeft w:val="0"/>
      <w:marRight w:val="0"/>
      <w:marTop w:val="0"/>
      <w:marBottom w:val="0"/>
      <w:divBdr>
        <w:top w:val="none" w:sz="0" w:space="0" w:color="auto"/>
        <w:left w:val="none" w:sz="0" w:space="0" w:color="auto"/>
        <w:bottom w:val="none" w:sz="0" w:space="0" w:color="auto"/>
        <w:right w:val="none" w:sz="0" w:space="0" w:color="auto"/>
      </w:divBdr>
    </w:div>
    <w:div w:id="2034959958">
      <w:bodyDiv w:val="1"/>
      <w:marLeft w:val="0"/>
      <w:marRight w:val="0"/>
      <w:marTop w:val="0"/>
      <w:marBottom w:val="0"/>
      <w:divBdr>
        <w:top w:val="none" w:sz="0" w:space="0" w:color="auto"/>
        <w:left w:val="none" w:sz="0" w:space="0" w:color="auto"/>
        <w:bottom w:val="none" w:sz="0" w:space="0" w:color="auto"/>
        <w:right w:val="none" w:sz="0" w:space="0" w:color="auto"/>
      </w:divBdr>
    </w:div>
    <w:div w:id="209928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Public-Works/Contractors.html" TargetMode="External"/><Relationship Id="rId13" Type="http://schemas.openxmlformats.org/officeDocument/2006/relationships/hyperlink" Target="http://www.dir.ca.gov/Public-Works/Notice_Clarifying_CPR_Requirement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r.ca.gov/Public-Works/eCPR_important_noti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Public-Works/Public_Works_Notices.htmll" TargetMode="External"/><Relationship Id="rId5" Type="http://schemas.openxmlformats.org/officeDocument/2006/relationships/webSettings" Target="webSettings.xml"/><Relationship Id="rId15" Type="http://schemas.openxmlformats.org/officeDocument/2006/relationships/hyperlink" Target="http://www.dir.ca.gov/ConcreteDeliveryPrevailingWage/AB_219_Fact_Sheet.html" TargetMode="External"/><Relationship Id="rId10" Type="http://schemas.openxmlformats.org/officeDocument/2006/relationships/hyperlink" Target="http://www.dir.ca.gov/pwc100ext/" TargetMode="External"/><Relationship Id="rId4" Type="http://schemas.openxmlformats.org/officeDocument/2006/relationships/settings" Target="settings.xml"/><Relationship Id="rId9" Type="http://schemas.openxmlformats.org/officeDocument/2006/relationships/hyperlink" Target="http://www.dir.ca.gov/Public-Works/Contractors.html" TargetMode="External"/><Relationship Id="rId14" Type="http://schemas.openxmlformats.org/officeDocument/2006/relationships/hyperlink" Target="http://r20.rs6.net/tn.jsp?t=at5lzdxab.0.0.f9x4bfcab.0&amp;id=preview&amp;r=3&amp;p=http%3A%2F%2Fwww.dir.ca.gov%2FConcreteDeliveryPrevailingWage%2FAB_219_Fact_She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F8116-F24B-4CEA-9C13-6184D9DC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Links>
    <vt:vector size="30" baseType="variant">
      <vt:variant>
        <vt:i4>5439561</vt:i4>
      </vt:variant>
      <vt:variant>
        <vt:i4>12</vt:i4>
      </vt:variant>
      <vt:variant>
        <vt:i4>0</vt:i4>
      </vt:variant>
      <vt:variant>
        <vt:i4>5</vt:i4>
      </vt:variant>
      <vt:variant>
        <vt:lpwstr>http://www.documents.dgs.ca.gov/bsc/CALGreen/MasterCALGreenNon-ResGuide2010_2012Suppl-3rdEd_1-12.pdf</vt:lpwstr>
      </vt:variant>
      <vt:variant>
        <vt:lpwstr/>
      </vt:variant>
      <vt:variant>
        <vt:i4>2752610</vt:i4>
      </vt:variant>
      <vt:variant>
        <vt:i4>9</vt:i4>
      </vt:variant>
      <vt:variant>
        <vt:i4>0</vt:i4>
      </vt:variant>
      <vt:variant>
        <vt:i4>5</vt:i4>
      </vt:variant>
      <vt:variant>
        <vt:lpwstr>http://www.edd.ca.gov/pdf_pub_ctr/de34.pdf</vt:lpwstr>
      </vt:variant>
      <vt:variant>
        <vt:lpwstr/>
      </vt:variant>
      <vt:variant>
        <vt:i4>2752610</vt:i4>
      </vt:variant>
      <vt:variant>
        <vt:i4>6</vt:i4>
      </vt:variant>
      <vt:variant>
        <vt:i4>0</vt:i4>
      </vt:variant>
      <vt:variant>
        <vt:i4>5</vt:i4>
      </vt:variant>
      <vt:variant>
        <vt:lpwstr>http://www.edd.ca.gov/pdf_pub_ctr/de34.pdf</vt:lpwstr>
      </vt:variant>
      <vt:variant>
        <vt:lpwstr/>
      </vt:variant>
      <vt:variant>
        <vt:i4>1835039</vt:i4>
      </vt:variant>
      <vt:variant>
        <vt:i4>3</vt:i4>
      </vt:variant>
      <vt:variant>
        <vt:i4>0</vt:i4>
      </vt:variant>
      <vt:variant>
        <vt:i4>5</vt:i4>
      </vt:variant>
      <vt:variant>
        <vt:lpwstr>https://eddservices.edd.ca.gov/index.html</vt:lpwstr>
      </vt:variant>
      <vt:variant>
        <vt:lpwstr/>
      </vt:variant>
      <vt:variant>
        <vt:i4>1835039</vt:i4>
      </vt:variant>
      <vt:variant>
        <vt:i4>0</vt:i4>
      </vt:variant>
      <vt:variant>
        <vt:i4>0</vt:i4>
      </vt:variant>
      <vt:variant>
        <vt:i4>5</vt:i4>
      </vt:variant>
      <vt:variant>
        <vt:lpwstr>https://eddservices.edd.ca.gov/index.html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Eddie</cp:lastModifiedBy>
  <cp:revision>2</cp:revision>
  <cp:lastPrinted>2014-07-28T19:54:00Z</cp:lastPrinted>
  <dcterms:created xsi:type="dcterms:W3CDTF">2016-05-18T21:42:00Z</dcterms:created>
  <dcterms:modified xsi:type="dcterms:W3CDTF">2016-05-18T21:42:00Z</dcterms:modified>
</cp:coreProperties>
</file>